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eastAsia="zh-CN"/>
        </w:rPr>
        <w:t>郴州市产业投资集团有限公司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u w:val="none"/>
          <w:lang w:val="en-US" w:eastAsia="zh-CN"/>
        </w:rPr>
        <w:t>2023年中层管理人员招聘计划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805"/>
        <w:gridCol w:w="561"/>
        <w:gridCol w:w="946"/>
        <w:gridCol w:w="1039"/>
        <w:gridCol w:w="1493"/>
        <w:gridCol w:w="6228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1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61" w:type="dxa"/>
            <w:vMerge w:val="restart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9706" w:type="dxa"/>
            <w:gridSpan w:val="4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7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1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5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61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6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039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93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6228" w:type="dxa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571" w:type="dxa"/>
            <w:vMerge w:val="continue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方正小标宋简体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资产经营公司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副总经理</w:t>
            </w:r>
          </w:p>
        </w:tc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40周岁及以下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以上学历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专业不限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1.具有3年以上政府机关、事业单位、资产运营管理公司、大型知名物业公司工作经验或具有3年以上同层级相应部门负责人工作经验，熟悉市场营销；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2.如有特别优异的实操案例，相应条件可适当放宽。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15-20万/年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开发建设公司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副总经理</w:t>
            </w:r>
          </w:p>
        </w:tc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40周岁及以下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以上学历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土木工程、建筑、公共管理类</w:t>
            </w:r>
          </w:p>
        </w:tc>
        <w:tc>
          <w:tcPr>
            <w:tcW w:w="622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1.熟悉土地一级整理和二级开发管理；熟悉工程建设立项、规划、设计、招投标、合同、预算等前期管理；施工期质量、安全、进度、造价等管理工作；熟悉结算、决算、移交、经营等工程后期相关工作；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2.具备一级建造师等相应职业资格，具备大型国企、民企、大型房企及自然规划、住建系统3年以上同层级相应部门负责人工作经验；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3.如有特别优异的实操案例，相应条件可适当放宽。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15-20万/年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企划经营部副部长</w:t>
            </w:r>
          </w:p>
        </w:tc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40周岁及以下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以上学历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经济类、法律、财经、贸易、市场营销、企业经营、营销管理等相关专业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1.熟悉国家宏观经济政策和产业发展政策，中省市项目投资程序；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2.具备国企、民企市场营销、企划经营、企业管理和政策研究相关工作3年以上同层级相应部门负责人工作经验；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3.如有特别优异的实操案例，相应条件可适当放宽。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13-18万/年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融资管理部副部长</w:t>
            </w:r>
          </w:p>
        </w:tc>
        <w:tc>
          <w:tcPr>
            <w:tcW w:w="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val="en-US" w:eastAsia="zh-CN"/>
              </w:rPr>
              <w:t>40周岁及以下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shd w:val="clear" w:color="auto" w:fill="FFFFFF"/>
              </w:rPr>
              <w:t>以上学历</w:t>
            </w: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金融、财经、经济类等相关专业</w:t>
            </w:r>
          </w:p>
        </w:tc>
        <w:tc>
          <w:tcPr>
            <w:tcW w:w="6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1.有3年以上平台公司、金融机构及国有、民营企业金融相关工作经验；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2.硕士研究生及以上学历或具有相关专业技术职称者可放宽条件；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3.如有特别优异的实操案例，相应条件可适当放宽。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shd w:val="clear" w:color="auto" w:fill="FFFFFF"/>
                <w:lang w:val="en-US" w:eastAsia="zh-CN" w:bidi="ar-SA"/>
              </w:rPr>
              <w:t>13-18万/年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BhNzc1MTMyOGQxZTc5YmY4ZjAzMDFlNzZkMTEifQ=="/>
  </w:docVars>
  <w:rsids>
    <w:rsidRoot w:val="7A8C52BA"/>
    <w:rsid w:val="71060646"/>
    <w:rsid w:val="7A8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Normal (Web)"/>
    <w:basedOn w:val="1"/>
    <w:qFormat/>
    <w:uiPriority w:val="99"/>
    <w:rPr>
      <w:rFonts w:ascii="宋体" w:hAnsi="宋体" w:cs="宋体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409</Characters>
  <Lines>0</Lines>
  <Paragraphs>0</Paragraphs>
  <TotalTime>0</TotalTime>
  <ScaleCrop>false</ScaleCrop>
  <LinksUpToDate>false</LinksUpToDate>
  <CharactersWithSpaces>409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2023-03-27T10:08:00Z</dcterms:created>
  <dc:creator>哔哔叭吧~~</dc:creator>
  <cp:lastModifiedBy>哔哔叭吧~~</cp:lastModifiedBy>
  <dcterms:modified xsi:type="dcterms:W3CDTF">2023-03-27T10:09:55Z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5887B5D559D9470F8B3E67BA105966E7</vt:lpwstr>
  </property>
</Properties>
</file>