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仿宋_GB2312" w:cs="Times New Roman"/>
          <w:b/>
          <w:bCs/>
          <w:color w:val="auto"/>
          <w:sz w:val="24"/>
          <w:szCs w:val="24"/>
        </w:rPr>
      </w:pPr>
      <w:bookmarkStart w:id="0" w:name="_GoBack"/>
      <w:r>
        <w:rPr>
          <w:rFonts w:ascii="Times New Roman" w:hAnsi="Times New Roman" w:eastAsia="仿宋_GB2312" w:cs="Times New Roman"/>
          <w:b/>
          <w:bCs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szCs w:val="24"/>
        </w:rPr>
        <w:t>1</w:t>
      </w:r>
    </w:p>
    <w:p>
      <w:pPr>
        <w:spacing w:line="580" w:lineRule="exact"/>
        <w:jc w:val="center"/>
        <w:rPr>
          <w:color w:val="auto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郴州市产业投资集团有限公司2023年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普通职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员拟招聘计划</w:t>
      </w:r>
      <w:bookmarkEnd w:id="0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（35人）</w:t>
      </w:r>
    </w:p>
    <w:tbl>
      <w:tblPr>
        <w:tblStyle w:val="8"/>
        <w:tblpPr w:leftFromText="180" w:rightFromText="180" w:vertAnchor="text" w:horzAnchor="page" w:tblpX="1616" w:tblpY="959"/>
        <w:tblOverlap w:val="never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280"/>
        <w:gridCol w:w="1428"/>
        <w:gridCol w:w="729"/>
        <w:gridCol w:w="1042"/>
        <w:gridCol w:w="1116"/>
        <w:gridCol w:w="1865"/>
        <w:gridCol w:w="55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63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8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岗位类别</w:t>
            </w:r>
          </w:p>
        </w:tc>
        <w:tc>
          <w:tcPr>
            <w:tcW w:w="142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岗位名称</w:t>
            </w:r>
          </w:p>
        </w:tc>
        <w:tc>
          <w:tcPr>
            <w:tcW w:w="729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9557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岗位要求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63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color w:val="auto"/>
              </w:rPr>
            </w:pPr>
          </w:p>
        </w:tc>
        <w:tc>
          <w:tcPr>
            <w:tcW w:w="128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color w:val="auto"/>
              </w:rPr>
            </w:pPr>
          </w:p>
        </w:tc>
        <w:tc>
          <w:tcPr>
            <w:tcW w:w="142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color w:val="auto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color w:val="auto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line="480" w:lineRule="exact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116" w:type="dxa"/>
            <w:vAlign w:val="center"/>
          </w:tcPr>
          <w:p>
            <w:pPr>
              <w:spacing w:line="480" w:lineRule="exact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865" w:type="dxa"/>
            <w:vAlign w:val="center"/>
          </w:tcPr>
          <w:p>
            <w:pPr>
              <w:spacing w:line="480" w:lineRule="exact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5534" w:type="dxa"/>
            <w:vAlign w:val="center"/>
          </w:tcPr>
          <w:p>
            <w:pPr>
              <w:spacing w:line="480" w:lineRule="exact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86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01</w:t>
            </w:r>
          </w:p>
        </w:tc>
        <w:tc>
          <w:tcPr>
            <w:tcW w:w="1280" w:type="dxa"/>
            <w:vMerge w:val="restart"/>
          </w:tcPr>
          <w:p>
            <w:pPr>
              <w:spacing w:line="320" w:lineRule="exact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综合类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8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文字综合</w:t>
            </w:r>
          </w:p>
        </w:tc>
        <w:tc>
          <w:tcPr>
            <w:tcW w:w="729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42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40周岁以下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</w:tc>
        <w:tc>
          <w:tcPr>
            <w:tcW w:w="1116" w:type="dxa"/>
          </w:tcPr>
          <w:p>
            <w:pPr>
              <w:spacing w:line="320" w:lineRule="exact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本科及以上学历</w:t>
            </w:r>
          </w:p>
        </w:tc>
        <w:tc>
          <w:tcPr>
            <w:tcW w:w="18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专业不限</w:t>
            </w:r>
          </w:p>
        </w:tc>
        <w:tc>
          <w:tcPr>
            <w:tcW w:w="5534" w:type="dxa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1能够独立承担分析现状、发现关键问题、推进政策研究等相关工作，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有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较强文案撰写能力，可独立完成各类文案的材料搜集、组织和撰写；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2.具有2年以上文字材料写作经验，有机关事业单位、国企文字材料经验优先。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86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02</w:t>
            </w:r>
          </w:p>
        </w:tc>
        <w:tc>
          <w:tcPr>
            <w:tcW w:w="1280" w:type="dxa"/>
            <w:vMerge w:val="continue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8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后勤管理</w:t>
            </w:r>
          </w:p>
        </w:tc>
        <w:tc>
          <w:tcPr>
            <w:tcW w:w="729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42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40周岁以下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6" w:type="dxa"/>
          </w:tcPr>
          <w:p>
            <w:pPr>
              <w:spacing w:line="280" w:lineRule="exact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本科及以上学历</w:t>
            </w:r>
          </w:p>
        </w:tc>
        <w:tc>
          <w:tcPr>
            <w:tcW w:w="18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专业不限</w:t>
            </w:r>
          </w:p>
        </w:tc>
        <w:tc>
          <w:tcPr>
            <w:tcW w:w="5534" w:type="dxa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1.有较强的沟通协调能力，熟悉办公行政管理（商务接待、会务筹备）知识及工作流程；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2.有2年以上行政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单位或国企相应岗位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工作经验者，学历放宽至大专以上。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86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03</w:t>
            </w:r>
          </w:p>
        </w:tc>
        <w:tc>
          <w:tcPr>
            <w:tcW w:w="1280" w:type="dxa"/>
            <w:vMerge w:val="continue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8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档案管理</w:t>
            </w:r>
          </w:p>
        </w:tc>
        <w:tc>
          <w:tcPr>
            <w:tcW w:w="729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42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40周岁以下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6" w:type="dxa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本科及以上学历</w:t>
            </w:r>
          </w:p>
        </w:tc>
        <w:tc>
          <w:tcPr>
            <w:tcW w:w="18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  <w:lang w:eastAsia="zh-CN"/>
              </w:rPr>
              <w:t>档案管理等相关专业</w:t>
            </w:r>
          </w:p>
        </w:tc>
        <w:tc>
          <w:tcPr>
            <w:tcW w:w="5534" w:type="dxa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1.熟悉档案管理的具体流程和方法，具备2年以上相关工作经验;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2.熟悉办公行政管理知识及工作流程；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3.具有较强的学习能力，保密意识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强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6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04</w:t>
            </w:r>
          </w:p>
        </w:tc>
        <w:tc>
          <w:tcPr>
            <w:tcW w:w="12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人资专员</w:t>
            </w:r>
          </w:p>
        </w:tc>
        <w:tc>
          <w:tcPr>
            <w:tcW w:w="7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42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40周岁及以下</w:t>
            </w:r>
          </w:p>
        </w:tc>
        <w:tc>
          <w:tcPr>
            <w:tcW w:w="1116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本科及以上学历</w:t>
            </w:r>
          </w:p>
        </w:tc>
        <w:tc>
          <w:tcPr>
            <w:tcW w:w="18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  <w:lang w:val="en-US" w:eastAsia="zh-CN"/>
              </w:rPr>
              <w:t>专业不限</w:t>
            </w:r>
          </w:p>
        </w:tc>
        <w:tc>
          <w:tcPr>
            <w:tcW w:w="5534" w:type="dxa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1.中共党员；</w:t>
            </w:r>
          </w:p>
          <w:p>
            <w:pPr>
              <w:spacing w:line="320" w:lineRule="exact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2.具有2年以上人力资源工作经验优先。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863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05</w:t>
            </w:r>
          </w:p>
        </w:tc>
        <w:tc>
          <w:tcPr>
            <w:tcW w:w="12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综合类</w:t>
            </w:r>
          </w:p>
        </w:tc>
        <w:tc>
          <w:tcPr>
            <w:tcW w:w="142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资产管理专员</w:t>
            </w:r>
          </w:p>
        </w:tc>
        <w:tc>
          <w:tcPr>
            <w:tcW w:w="7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04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40周岁以下</w:t>
            </w: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本科及以上学历</w:t>
            </w:r>
          </w:p>
        </w:tc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专业不限</w:t>
            </w:r>
          </w:p>
        </w:tc>
        <w:tc>
          <w:tcPr>
            <w:tcW w:w="5534" w:type="dxa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1.有会计、资产处置和运营工作经历，熟悉办公自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动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化应用；</w:t>
            </w:r>
          </w:p>
          <w:p>
            <w:pPr>
              <w:spacing w:line="320" w:lineRule="exact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2.具有2年以上资产收购、经营管理和处置等相关工作经验优先。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63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06</w:t>
            </w:r>
          </w:p>
        </w:tc>
        <w:tc>
          <w:tcPr>
            <w:tcW w:w="12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经济类</w:t>
            </w:r>
          </w:p>
        </w:tc>
        <w:tc>
          <w:tcPr>
            <w:tcW w:w="142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投资专员</w:t>
            </w:r>
          </w:p>
        </w:tc>
        <w:tc>
          <w:tcPr>
            <w:tcW w:w="7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4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40周岁以下</w:t>
            </w: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本科及以上学历</w:t>
            </w:r>
          </w:p>
        </w:tc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专业不限</w:t>
            </w:r>
          </w:p>
        </w:tc>
        <w:tc>
          <w:tcPr>
            <w:tcW w:w="5534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具有2年以上股权投资、基金管理等工作经验优先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63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07</w:t>
            </w:r>
          </w:p>
        </w:tc>
        <w:tc>
          <w:tcPr>
            <w:tcW w:w="12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8" w:type="dxa"/>
          </w:tcPr>
          <w:p>
            <w:pPr>
              <w:spacing w:line="320" w:lineRule="exact"/>
              <w:jc w:val="both"/>
              <w:rPr>
                <w:rFonts w:ascii="仿宋" w:hAnsi="仿宋" w:eastAsia="仿宋" w:cstheme="minorBidi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theme="minorBidi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theme="minorBidi"/>
                <w:color w:val="auto"/>
                <w:sz w:val="28"/>
                <w:szCs w:val="28"/>
                <w:shd w:val="clear" w:color="auto" w:fill="FFFFFF"/>
              </w:rPr>
              <w:t>财务管理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及会计</w:t>
            </w:r>
          </w:p>
        </w:tc>
        <w:tc>
          <w:tcPr>
            <w:tcW w:w="729" w:type="dxa"/>
          </w:tcPr>
          <w:p>
            <w:pPr>
              <w:spacing w:line="320" w:lineRule="exact"/>
              <w:jc w:val="both"/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042" w:type="dxa"/>
          </w:tcPr>
          <w:p>
            <w:pPr>
              <w:spacing w:line="320" w:lineRule="exact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40周岁以下</w:t>
            </w:r>
          </w:p>
        </w:tc>
        <w:tc>
          <w:tcPr>
            <w:tcW w:w="1116" w:type="dxa"/>
          </w:tcPr>
          <w:p>
            <w:pPr>
              <w:spacing w:line="320" w:lineRule="exact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本科及以上学历</w:t>
            </w:r>
          </w:p>
        </w:tc>
        <w:tc>
          <w:tcPr>
            <w:tcW w:w="18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  <w:lang w:val="en-US" w:eastAsia="zh-CN"/>
              </w:rPr>
              <w:t>财政、税务、金融、经济学、会计学、财务会计与审计学、金融学、金融管理</w:t>
            </w:r>
          </w:p>
        </w:tc>
        <w:tc>
          <w:tcPr>
            <w:tcW w:w="5534" w:type="dxa"/>
          </w:tcPr>
          <w:p>
            <w:pPr>
              <w:spacing w:line="320" w:lineRule="exac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1.同岗位工作经验3年以上，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具有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会计初级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及以上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职称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；</w:t>
            </w:r>
          </w:p>
          <w:p>
            <w:pPr>
              <w:spacing w:line="320" w:lineRule="exact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2.熟悉财政工作、有预算、国库、债务管理等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工作经验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优先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6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08</w:t>
            </w:r>
          </w:p>
        </w:tc>
        <w:tc>
          <w:tcPr>
            <w:tcW w:w="12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财务会计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  <w:lang w:val="en-US" w:eastAsia="zh-CN"/>
              </w:rPr>
              <w:t>35周岁及以下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本科及以上学历</w:t>
            </w:r>
          </w:p>
        </w:tc>
        <w:tc>
          <w:tcPr>
            <w:tcW w:w="18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  <w:lang w:val="en-US" w:eastAsia="zh-CN"/>
              </w:rPr>
              <w:t>财会类相关专业</w:t>
            </w:r>
          </w:p>
        </w:tc>
        <w:tc>
          <w:tcPr>
            <w:tcW w:w="5534" w:type="dxa"/>
            <w:vAlign w:val="center"/>
          </w:tcPr>
          <w:p>
            <w:pPr>
              <w:spacing w:line="320" w:lineRule="exact"/>
              <w:rPr>
                <w:rFonts w:hint="default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1.具有相应专业学士学位；</w:t>
            </w:r>
          </w:p>
          <w:p>
            <w:pPr>
              <w:spacing w:line="320" w:lineRule="exact"/>
              <w:rPr>
                <w:rFonts w:hint="default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2.应届毕业生优先。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63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09</w:t>
            </w:r>
          </w:p>
        </w:tc>
        <w:tc>
          <w:tcPr>
            <w:tcW w:w="1280" w:type="dxa"/>
            <w:vMerge w:val="continue"/>
            <w:vAlign w:val="center"/>
          </w:tcPr>
          <w:p>
            <w:pPr>
              <w:spacing w:line="320" w:lineRule="exact"/>
              <w:rPr>
                <w:color w:val="auto"/>
              </w:rPr>
            </w:pPr>
          </w:p>
        </w:tc>
        <w:tc>
          <w:tcPr>
            <w:tcW w:w="14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子公司财务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  <w:t>会计</w:t>
            </w:r>
          </w:p>
        </w:tc>
        <w:tc>
          <w:tcPr>
            <w:tcW w:w="7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color w:val="auto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0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  <w:lang w:val="en-US" w:eastAsia="zh-CN"/>
              </w:rPr>
              <w:t>30周</w:t>
            </w: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岁以下</w:t>
            </w:r>
          </w:p>
        </w:tc>
        <w:tc>
          <w:tcPr>
            <w:tcW w:w="11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  <w:lang w:eastAsia="zh-CN"/>
              </w:rPr>
              <w:t>大专</w:t>
            </w: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及以上学历</w:t>
            </w:r>
          </w:p>
        </w:tc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  <w:lang w:val="en-US" w:eastAsia="zh-CN"/>
              </w:rPr>
              <w:t>财会类相关专业</w:t>
            </w:r>
          </w:p>
        </w:tc>
        <w:tc>
          <w:tcPr>
            <w:tcW w:w="5534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仿宋" w:hAnsi="仿宋" w:eastAsia="仿宋"/>
                <w:color w:val="auto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应届毕业生优先。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863" w:type="dxa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2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审计专员</w:t>
            </w:r>
          </w:p>
        </w:tc>
        <w:tc>
          <w:tcPr>
            <w:tcW w:w="7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4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40周岁以下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本科及以上学历</w:t>
            </w:r>
          </w:p>
        </w:tc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审计、财务、造价、工程管理、金融、经济、法律</w:t>
            </w:r>
            <w:r>
              <w:rPr>
                <w:rFonts w:hint="eastAsia" w:ascii="仿宋" w:hAnsi="仿宋" w:eastAsia="仿宋"/>
                <w:color w:val="auto"/>
                <w:shd w:val="clear" w:color="auto" w:fill="FFFFFF"/>
                <w:lang w:eastAsia="zh-CN"/>
              </w:rPr>
              <w:t>等相关专业</w:t>
            </w:r>
          </w:p>
        </w:tc>
        <w:tc>
          <w:tcPr>
            <w:tcW w:w="5534" w:type="dxa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有较强的逻辑分析能力；具备风险识别、分析、评估以及量化风险控制指标等专业技能；从事造价、审计工程管理等相关业务工作经验的、有造价工程师资格证书的优先。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863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1280" w:type="dxa"/>
            <w:vMerge w:val="continue"/>
          </w:tcPr>
          <w:p>
            <w:pPr>
              <w:pStyle w:val="5"/>
              <w:spacing w:line="320" w:lineRule="exact"/>
              <w:ind w:left="0" w:leftChars="0" w:firstLine="0" w:firstLineChars="0"/>
              <w:jc w:val="center"/>
              <w:rPr>
                <w:color w:val="auto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风控专员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4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40周岁及以下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本科及以上学历</w:t>
            </w:r>
          </w:p>
        </w:tc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  <w:lang w:val="en-US" w:eastAsia="zh-CN"/>
              </w:rPr>
              <w:t>金融学；财务管理；国际贸易等相关专业</w:t>
            </w:r>
          </w:p>
        </w:tc>
        <w:tc>
          <w:tcPr>
            <w:tcW w:w="5534" w:type="dxa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1.从事金融工作3年以上或5年以上相关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经济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工作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经历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；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2.熟悉相关政策、法规，有较强的风险管理、识别、控制能力；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3.有供应链金融业务工作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经验者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863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1280" w:type="dxa"/>
            <w:vMerge w:val="restart"/>
          </w:tcPr>
          <w:p>
            <w:pPr>
              <w:spacing w:line="320" w:lineRule="exact"/>
              <w:rPr>
                <w:color w:val="auto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theme="minorBidi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经济类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外贸专员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4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40周岁及以下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本科及以上学历</w:t>
            </w:r>
          </w:p>
        </w:tc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  <w:lang w:val="en-US" w:eastAsia="zh-CN"/>
              </w:rPr>
              <w:t>专业不限</w:t>
            </w:r>
          </w:p>
        </w:tc>
        <w:tc>
          <w:tcPr>
            <w:tcW w:w="5534" w:type="dxa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1.从事国际贸易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工作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5年以上；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2.从事大宗商品、有色金属国际贸易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工作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2年以上；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3.有国企集团公司从业经历优先；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4.熟悉国际大宗贸易全流程，有跟单、结算稳定团队者优先。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863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12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资产运营专员</w:t>
            </w:r>
          </w:p>
        </w:tc>
        <w:tc>
          <w:tcPr>
            <w:tcW w:w="7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42" w:type="dxa"/>
          </w:tcPr>
          <w:p>
            <w:pPr>
              <w:spacing w:line="320" w:lineRule="exact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40周岁及以下</w:t>
            </w:r>
          </w:p>
        </w:tc>
        <w:tc>
          <w:tcPr>
            <w:tcW w:w="1116" w:type="dxa"/>
          </w:tcPr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大专及以上</w:t>
            </w:r>
          </w:p>
        </w:tc>
        <w:tc>
          <w:tcPr>
            <w:tcW w:w="18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  <w:lang w:val="en-US" w:eastAsia="zh-CN"/>
              </w:rPr>
              <w:t>专业不限</w:t>
            </w:r>
          </w:p>
        </w:tc>
        <w:tc>
          <w:tcPr>
            <w:tcW w:w="5534" w:type="dxa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有物业管理、资产经营管理等从业经历，有房地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产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开发、租赁管理、资产处置工作经验，在国企工作2年以上者优先。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863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12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统计专员</w:t>
            </w:r>
          </w:p>
        </w:tc>
        <w:tc>
          <w:tcPr>
            <w:tcW w:w="7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42" w:type="dxa"/>
          </w:tcPr>
          <w:p>
            <w:pPr>
              <w:rPr>
                <w:color w:val="auto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40周岁及以下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</w:tc>
        <w:tc>
          <w:tcPr>
            <w:tcW w:w="1116" w:type="dxa"/>
          </w:tcPr>
          <w:p>
            <w:pPr>
              <w:spacing w:line="320" w:lineRule="exact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本科及以上学历</w:t>
            </w:r>
          </w:p>
        </w:tc>
        <w:tc>
          <w:tcPr>
            <w:tcW w:w="18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  <w:lang w:eastAsia="zh-CN"/>
              </w:rPr>
              <w:t>数学与统计类、经济学类、会计学、财务管理等相关专业</w:t>
            </w:r>
          </w:p>
        </w:tc>
        <w:tc>
          <w:tcPr>
            <w:tcW w:w="5534" w:type="dxa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具有3年以上政府统计工作经验者，学历放宽至大专以上。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863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15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发改专员</w:t>
            </w:r>
          </w:p>
        </w:tc>
        <w:tc>
          <w:tcPr>
            <w:tcW w:w="7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42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40周岁及以下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</w:tc>
        <w:tc>
          <w:tcPr>
            <w:tcW w:w="1116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本科及以上学历</w:t>
            </w:r>
          </w:p>
        </w:tc>
        <w:tc>
          <w:tcPr>
            <w:tcW w:w="18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  <w:lang w:eastAsia="zh-CN"/>
              </w:rPr>
              <w:t>经济学类、工商管理类等相关专业</w:t>
            </w:r>
          </w:p>
        </w:tc>
        <w:tc>
          <w:tcPr>
            <w:tcW w:w="5534" w:type="dxa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具有3年以上相关工作经验者，学历放宽至大专以上。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63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12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工信专员</w:t>
            </w:r>
          </w:p>
        </w:tc>
        <w:tc>
          <w:tcPr>
            <w:tcW w:w="7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42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40周岁及以下</w:t>
            </w:r>
          </w:p>
          <w:p>
            <w:pPr>
              <w:spacing w:line="320" w:lineRule="exact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</w:tc>
        <w:tc>
          <w:tcPr>
            <w:tcW w:w="1116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本科及以上学历</w:t>
            </w:r>
          </w:p>
        </w:tc>
        <w:tc>
          <w:tcPr>
            <w:tcW w:w="18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  <w:lang w:eastAsia="zh-CN"/>
              </w:rPr>
              <w:t>经济学类、电子信息类、计算机类等相关专业</w:t>
            </w:r>
          </w:p>
        </w:tc>
        <w:tc>
          <w:tcPr>
            <w:tcW w:w="5534" w:type="dxa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具有3年以上相关工作经验者，学历放宽至大专以上。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863" w:type="dxa"/>
          </w:tcPr>
          <w:p>
            <w:pPr>
              <w:rPr>
                <w:color w:val="auto"/>
              </w:rPr>
            </w:pPr>
          </w:p>
          <w:p>
            <w:pPr>
              <w:pStyle w:val="5"/>
              <w:ind w:left="840" w:hanging="420"/>
              <w:rPr>
                <w:color w:val="auto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2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法律类</w:t>
            </w:r>
          </w:p>
        </w:tc>
        <w:tc>
          <w:tcPr>
            <w:tcW w:w="14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风控专员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7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4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40周岁以下</w:t>
            </w:r>
          </w:p>
          <w:p>
            <w:pPr>
              <w:spacing w:line="320" w:lineRule="exact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本科及以上学历</w:t>
            </w:r>
          </w:p>
        </w:tc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法律、金融、经济、财务、工程管理、审计</w:t>
            </w:r>
            <w:r>
              <w:rPr>
                <w:rFonts w:hint="eastAsia" w:ascii="仿宋" w:hAnsi="仿宋" w:eastAsia="仿宋"/>
                <w:color w:val="auto"/>
                <w:shd w:val="clear" w:color="auto" w:fill="FFFFFF"/>
                <w:lang w:eastAsia="zh-CN"/>
              </w:rPr>
              <w:t>等相关专业</w:t>
            </w:r>
          </w:p>
        </w:tc>
        <w:tc>
          <w:tcPr>
            <w:tcW w:w="5534" w:type="dxa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有较强的逻辑分析能力；具备风险识别、分析、评估以及量化风险控制指标等专业技能；有从事风控方面相关工作经验、有律师资格证书者优先。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863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12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工程类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pStyle w:val="5"/>
              <w:ind w:left="980" w:hanging="560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pStyle w:val="5"/>
              <w:ind w:left="980" w:hanging="560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工程类</w:t>
            </w:r>
          </w:p>
        </w:tc>
        <w:tc>
          <w:tcPr>
            <w:tcW w:w="142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城乡规划专员</w:t>
            </w:r>
          </w:p>
        </w:tc>
        <w:tc>
          <w:tcPr>
            <w:tcW w:w="7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4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40周岁以下</w:t>
            </w: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本科及以上学历</w:t>
            </w:r>
          </w:p>
        </w:tc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  <w:lang w:val="en-US" w:eastAsia="zh-CN"/>
              </w:rPr>
              <w:t>城乡规划</w:t>
            </w:r>
            <w:r>
              <w:rPr>
                <w:rFonts w:hint="eastAsia" w:ascii="仿宋" w:hAnsi="仿宋" w:eastAsia="仿宋"/>
                <w:color w:val="auto"/>
                <w:shd w:val="clear" w:color="auto" w:fill="FFFFFF"/>
                <w:lang w:eastAsia="zh-CN"/>
              </w:rPr>
              <w:t>等相关专业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</w:tc>
        <w:tc>
          <w:tcPr>
            <w:tcW w:w="5534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1.从事城市规划与设计相关工作经历2年以上，包括城市总体规划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控制性详细规划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概念规划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城市设计、景观设计等；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2.熟练运用城市规划相关制图软件及办公软件；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3.取得中级规划职称或注册规划师资格或有2年以上规划管理工作经历和在政府单位工作经历者，年龄可放宽至45周岁。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863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12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项目造价专员</w:t>
            </w:r>
          </w:p>
        </w:tc>
        <w:tc>
          <w:tcPr>
            <w:tcW w:w="7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4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40周岁以下</w:t>
            </w: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本科及以上学历</w:t>
            </w:r>
          </w:p>
        </w:tc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  <w:lang w:val="en-US" w:eastAsia="zh-CN"/>
              </w:rPr>
              <w:t>工程造价等相关专业</w:t>
            </w:r>
          </w:p>
        </w:tc>
        <w:tc>
          <w:tcPr>
            <w:tcW w:w="5534" w:type="dxa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1.熟悉国家现行建筑行业相关法律法规、行业标准、地方定额，掌握工程预算定额及有关政策规定；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2.3-5年以上土建预算员工作经验，持有造价师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或造价员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证书者优先</w:t>
            </w: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863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2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工程管理专员1</w:t>
            </w:r>
          </w:p>
        </w:tc>
        <w:tc>
          <w:tcPr>
            <w:tcW w:w="7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4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40周岁以下</w:t>
            </w:r>
          </w:p>
          <w:p>
            <w:pPr>
              <w:spacing w:line="320" w:lineRule="exact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本科及以上学历</w:t>
            </w:r>
          </w:p>
        </w:tc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  <w:lang w:val="en-US" w:eastAsia="zh-CN"/>
              </w:rPr>
              <w:t>土木工程、工程管理、建筑学</w:t>
            </w:r>
            <w:r>
              <w:rPr>
                <w:rFonts w:hint="eastAsia" w:ascii="仿宋" w:hAnsi="仿宋" w:eastAsia="仿宋"/>
                <w:color w:val="auto"/>
                <w:shd w:val="clear" w:color="auto" w:fill="FFFFFF"/>
                <w:lang w:eastAsia="zh-CN"/>
              </w:rPr>
              <w:t>等相关专业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4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1.熟悉房屋建筑和市政项目工程质量、安全、进度、费控等管理工作，有较强的组织建设和沟通协调能力；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2.熟悉项目验收工作；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熟悉电脑office、AutoCAD等办公软件；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4.具有2年以上建设项目现场管理经验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或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二级建造师优先。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863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12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建设管理专员</w:t>
            </w:r>
          </w:p>
        </w:tc>
        <w:tc>
          <w:tcPr>
            <w:tcW w:w="7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4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40周岁以下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本科及以上学历</w:t>
            </w:r>
          </w:p>
        </w:tc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土建类</w:t>
            </w:r>
            <w:r>
              <w:rPr>
                <w:rFonts w:hint="eastAsia" w:ascii="仿宋" w:hAnsi="仿宋" w:eastAsia="仿宋"/>
                <w:color w:val="auto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工程造价、质量管理工程、工程管理、房地产开发与管理</w:t>
            </w:r>
            <w:r>
              <w:rPr>
                <w:rFonts w:hint="eastAsia" w:ascii="仿宋" w:hAnsi="仿宋" w:eastAsia="仿宋"/>
                <w:color w:val="auto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土地资源管理、城市管理</w:t>
            </w:r>
            <w:r>
              <w:rPr>
                <w:rFonts w:hint="eastAsia" w:ascii="仿宋" w:hAnsi="仿宋" w:eastAsia="仿宋"/>
                <w:color w:val="auto"/>
                <w:shd w:val="clear" w:color="auto" w:fill="FFFFFF"/>
                <w:lang w:eastAsia="zh-CN"/>
              </w:rPr>
              <w:t>等相关专业</w:t>
            </w:r>
          </w:p>
        </w:tc>
        <w:tc>
          <w:tcPr>
            <w:tcW w:w="5534" w:type="dxa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1.具有四年以上建设工程设计或施工管理工作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经验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；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熟悉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国家有关法律法规和相关工程建设强制性标准；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3.有良好的职业道德；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4.参加省级以上工程质量监督部门的相关业务知识培训并考核合格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或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具有一级建造师、监理工程师资质者，年龄可放宽至45周岁。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863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成控专员</w:t>
            </w:r>
          </w:p>
        </w:tc>
        <w:tc>
          <w:tcPr>
            <w:tcW w:w="7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4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40周岁以下</w:t>
            </w: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本科及以上学历</w:t>
            </w:r>
          </w:p>
        </w:tc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  <w:lang w:eastAsia="zh-CN"/>
              </w:rPr>
              <w:t>工程造价等相关专业</w:t>
            </w:r>
          </w:p>
        </w:tc>
        <w:tc>
          <w:tcPr>
            <w:tcW w:w="5534" w:type="dxa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具有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2年以上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相关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工作经验；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2.参与过项目开发过程中成本控制、结算审计、工程造价等工作经验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者优先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63" w:type="dxa"/>
          </w:tcPr>
          <w:p>
            <w:pPr>
              <w:spacing w:line="320" w:lineRule="exact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12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8" w:type="dxa"/>
          </w:tcPr>
          <w:p>
            <w:pPr>
              <w:pStyle w:val="5"/>
              <w:spacing w:line="32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pStyle w:val="5"/>
              <w:spacing w:line="32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工程管理专员2</w:t>
            </w:r>
          </w:p>
        </w:tc>
        <w:tc>
          <w:tcPr>
            <w:tcW w:w="729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42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  <w:lang w:val="en-US" w:eastAsia="zh-CN"/>
              </w:rPr>
              <w:t>35</w:t>
            </w: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周岁以下</w:t>
            </w:r>
          </w:p>
        </w:tc>
        <w:tc>
          <w:tcPr>
            <w:tcW w:w="1116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本科及以上学历</w:t>
            </w:r>
          </w:p>
        </w:tc>
        <w:tc>
          <w:tcPr>
            <w:tcW w:w="18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  <w:lang w:val="en-US" w:eastAsia="zh-CN"/>
              </w:rPr>
              <w:t>土木工程、工程管理、建筑学</w:t>
            </w:r>
            <w:r>
              <w:rPr>
                <w:rFonts w:hint="eastAsia" w:ascii="仿宋" w:hAnsi="仿宋" w:eastAsia="仿宋"/>
                <w:color w:val="auto"/>
                <w:shd w:val="clear" w:color="auto" w:fill="FFFFFF"/>
                <w:lang w:eastAsia="zh-CN"/>
              </w:rPr>
              <w:t>等相关专业</w:t>
            </w:r>
          </w:p>
        </w:tc>
        <w:tc>
          <w:tcPr>
            <w:tcW w:w="5534" w:type="dxa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</w:p>
          <w:p>
            <w:pPr>
              <w:spacing w:line="320" w:lineRule="exact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应届毕业生优先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863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2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安全监管</w:t>
            </w:r>
          </w:p>
        </w:tc>
        <w:tc>
          <w:tcPr>
            <w:tcW w:w="72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42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40周岁及以下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6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本科及以上学历</w:t>
            </w:r>
          </w:p>
        </w:tc>
        <w:tc>
          <w:tcPr>
            <w:tcW w:w="18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hd w:val="clear" w:color="auto" w:fill="FFFFFF"/>
                <w:lang w:eastAsia="zh-CN"/>
              </w:rPr>
              <w:t>环境与安全类、化学类、机械类、土建类等相关专业</w:t>
            </w:r>
          </w:p>
        </w:tc>
        <w:tc>
          <w:tcPr>
            <w:tcW w:w="5534" w:type="dxa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具有2年以上在政府安全监管部门从事安全监管工作经验者，学历放宽至大专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年龄放宽至45周岁。</w:t>
            </w:r>
          </w:p>
        </w:tc>
      </w:tr>
    </w:tbl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2OTE5YTYzNmM4NTY3YTkzNjgxMDc2YzlkMzQ1ZTEifQ=="/>
  </w:docVars>
  <w:rsids>
    <w:rsidRoot w:val="349C534F"/>
    <w:rsid w:val="2BA61356"/>
    <w:rsid w:val="349C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uto"/>
      <w:jc w:val="both"/>
      <w:textAlignment w:val="baseline"/>
    </w:pPr>
    <w:rPr>
      <w:rFonts w:ascii="Arial" w:hAnsi="Arial" w:eastAsia="黑体" w:cs="Times New Roman"/>
      <w:b/>
      <w:bCs/>
      <w:kern w:val="2"/>
      <w:sz w:val="28"/>
      <w:szCs w:val="28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cs="Times New Roman"/>
      <w:kern w:val="0"/>
      <w:sz w:val="18"/>
      <w:szCs w:val="18"/>
    </w:rPr>
  </w:style>
  <w:style w:type="paragraph" w:styleId="5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6">
    <w:name w:val="Normal (Web)"/>
    <w:basedOn w:val="1"/>
    <w:qFormat/>
    <w:uiPriority w:val="99"/>
    <w:rPr>
      <w:rFonts w:ascii="宋体" w:hAnsi="宋体" w:cs="宋体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2023-03-21T07:00:00Z</dcterms:created>
  <dc:creator>哔哔叭吧~~</dc:creator>
  <cp:lastModifiedBy>哔哔叭吧~~</cp:lastModifiedBy>
  <dcterms:modified xsi:type="dcterms:W3CDTF">2023-03-21T07:09:24Z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DB7EF1905783484681622719CF8C79D6</vt:lpwstr>
  </property>
</Properties>
</file>